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763"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Universidad Guadalajara Lamar</w:t>
      </w: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Licenciatura en Psicología</w:t>
      </w: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Daniela Fabiola Díaz García</w:t>
      </w: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24 de Septiembre del 2010</w:t>
      </w:r>
    </w:p>
    <w:p w:rsidR="000558A7" w:rsidRPr="007605ED" w:rsidRDefault="000558A7">
      <w:pPr>
        <w:rPr>
          <w:rFonts w:ascii="Arial" w:hAnsi="Arial" w:cs="Arial"/>
          <w:color w:val="262626" w:themeColor="text1" w:themeTint="D9"/>
          <w:sz w:val="24"/>
          <w:szCs w:val="24"/>
          <w:lang w:val="es-MX"/>
        </w:rPr>
      </w:pP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¿Es la teoría epistemológica una forma absoluta de obtener el conocimiento?</w:t>
      </w:r>
    </w:p>
    <w:p w:rsidR="000558A7" w:rsidRPr="007605ED" w:rsidRDefault="000558A7">
      <w:pPr>
        <w:rPr>
          <w:rFonts w:ascii="Arial" w:hAnsi="Arial" w:cs="Arial"/>
          <w:color w:val="262626" w:themeColor="text1" w:themeTint="D9"/>
          <w:sz w:val="24"/>
          <w:szCs w:val="24"/>
          <w:lang w:val="es-ES"/>
        </w:rPr>
      </w:pPr>
      <w:r w:rsidRPr="007605ED">
        <w:rPr>
          <w:rFonts w:ascii="Arial" w:hAnsi="Arial" w:cs="Arial"/>
          <w:color w:val="262626" w:themeColor="text1" w:themeTint="D9"/>
          <w:sz w:val="24"/>
          <w:szCs w:val="24"/>
          <w:lang w:val="es-ES"/>
        </w:rPr>
        <w:t xml:space="preserve">Para </w:t>
      </w:r>
      <w:proofErr w:type="spellStart"/>
      <w:r w:rsidRPr="007605ED">
        <w:rPr>
          <w:rFonts w:ascii="Arial" w:hAnsi="Arial" w:cs="Arial"/>
          <w:color w:val="262626" w:themeColor="text1" w:themeTint="D9"/>
          <w:sz w:val="24"/>
          <w:szCs w:val="24"/>
          <w:lang w:val="es-ES"/>
        </w:rPr>
        <w:t>Popper</w:t>
      </w:r>
      <w:proofErr w:type="spellEnd"/>
      <w:r w:rsidRPr="007605ED">
        <w:rPr>
          <w:rFonts w:ascii="Arial" w:hAnsi="Arial" w:cs="Arial"/>
          <w:color w:val="262626" w:themeColor="text1" w:themeTint="D9"/>
          <w:sz w:val="24"/>
          <w:szCs w:val="24"/>
          <w:lang w:val="es-ES"/>
        </w:rPr>
        <w:t xml:space="preserve"> el estatuto de la epistemología viene definido por tres notas: por el interés acerca de la validez del conocimiento (el estudio de la forma cómo el sujeto adquiere dicho conocimiento es irrelevante para su validez); por su desinterés hacia el sujeto del conocimiento (la ciencia es considerada sólo en cuanto lenguaje lógico estudiado desde un punto de vista objetivo), es decir, la epistemología se ocupa de los enunciados de la ciencia y de sus relaciones lógicas (justificación); y, por último, por poseer un carácter lógico-metodológico, es decir, normativo y filosófico.</w:t>
      </w:r>
    </w:p>
    <w:p w:rsidR="000558A7" w:rsidRPr="007605ED" w:rsidRDefault="000558A7">
      <w:pPr>
        <w:rPr>
          <w:rFonts w:ascii="Arial" w:hAnsi="Arial" w:cs="Arial"/>
          <w:color w:val="262626" w:themeColor="text1" w:themeTint="D9"/>
          <w:sz w:val="24"/>
          <w:szCs w:val="24"/>
          <w:lang w:val="es-ES"/>
        </w:rPr>
      </w:pPr>
    </w:p>
    <w:p w:rsidR="000558A7" w:rsidRPr="007605ED" w:rsidRDefault="000558A7">
      <w:pPr>
        <w:rPr>
          <w:rFonts w:ascii="Arial" w:hAnsi="Arial" w:cs="Arial"/>
          <w:color w:val="262626" w:themeColor="text1" w:themeTint="D9"/>
          <w:sz w:val="24"/>
          <w:szCs w:val="24"/>
          <w:lang w:val="es-ES"/>
        </w:rPr>
      </w:pPr>
      <w:r w:rsidRPr="007605ED">
        <w:rPr>
          <w:rFonts w:ascii="Arial" w:hAnsi="Arial" w:cs="Arial"/>
          <w:color w:val="262626" w:themeColor="text1" w:themeTint="D9"/>
          <w:sz w:val="24"/>
          <w:szCs w:val="24"/>
          <w:lang w:val="es-ES"/>
        </w:rPr>
        <w:t>¿Cómo logra la epistemología concretar su definición y un método para llegar al conocimiento?</w:t>
      </w: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ES"/>
        </w:rPr>
        <w:t>epistemología es la ciencia que trata de conocer la naturaleza del conocimiento humano, en sus principios reales y en su funcionamiento real, los tipos o clases de conocimiento y los caminos o métodos que pueden conducir a su realización correcta en cada caso. Según Javier Monserrat, estos son los amplios niveles en los que la reflexión del epistemólogo se mueve para cumplir adecuadamente sus objetivos científicos: autobservación de los procesos cognitivos tal y cómo se dan en su propia experiencia o introspección; observación de la estructura de la experiencia global de la realidad en que el hombre se encuentra, para tratar de entender cómo el hecho del conocimiento humano es en ella un elemento coherente; estudiar cómo se manifiesta el conocimiento, tal como es ejercitado por el hombre en la cultura dentro de la que vive.</w:t>
      </w:r>
    </w:p>
    <w:p w:rsidR="000558A7" w:rsidRPr="007605ED" w:rsidRDefault="000558A7">
      <w:pPr>
        <w:rPr>
          <w:rFonts w:ascii="Arial" w:hAnsi="Arial" w:cs="Arial"/>
          <w:color w:val="262626" w:themeColor="text1" w:themeTint="D9"/>
          <w:sz w:val="24"/>
          <w:szCs w:val="24"/>
          <w:lang w:val="es-MX"/>
        </w:rPr>
      </w:pPr>
    </w:p>
    <w:p w:rsidR="000558A7" w:rsidRPr="007605ED" w:rsidRDefault="000558A7">
      <w:pPr>
        <w:rPr>
          <w:rFonts w:ascii="Arial" w:hAnsi="Arial" w:cs="Arial"/>
          <w:color w:val="262626" w:themeColor="text1" w:themeTint="D9"/>
          <w:sz w:val="24"/>
          <w:szCs w:val="24"/>
          <w:lang w:val="es-MX"/>
        </w:rPr>
      </w:pPr>
      <w:r w:rsidRPr="007605ED">
        <w:rPr>
          <w:rFonts w:ascii="Arial" w:hAnsi="Arial" w:cs="Arial"/>
          <w:color w:val="262626" w:themeColor="text1" w:themeTint="D9"/>
          <w:sz w:val="24"/>
          <w:szCs w:val="24"/>
          <w:lang w:val="es-MX"/>
        </w:rPr>
        <w:t>¿De qué manera se relaciona la teoría del conocimiento y la epistemología?</w:t>
      </w:r>
    </w:p>
    <w:p w:rsidR="000558A7" w:rsidRPr="000558A7" w:rsidRDefault="000558A7">
      <w:pPr>
        <w:rPr>
          <w:rFonts w:ascii="Arial" w:hAnsi="Arial" w:cs="Arial"/>
          <w:color w:val="595959" w:themeColor="text1" w:themeTint="A6"/>
          <w:sz w:val="24"/>
          <w:szCs w:val="24"/>
          <w:lang w:val="es-MX"/>
        </w:rPr>
      </w:pPr>
      <w:r w:rsidRPr="007605ED">
        <w:rPr>
          <w:rFonts w:ascii="Arial" w:hAnsi="Arial" w:cs="Arial"/>
          <w:color w:val="262626" w:themeColor="text1" w:themeTint="D9"/>
          <w:sz w:val="24"/>
          <w:szCs w:val="24"/>
          <w:lang w:val="es-ES"/>
        </w:rPr>
        <w:t>La relación de la epistemología con la teoría del conocimiento sería la que hay entre la especie y el género, siendo la epistemología la especie, ya que trata de una forma específica de conocimiento: el conocimiento científico. Sin embargo, esta diferencia desaparece entre los neopositivistas y empiristas lógicos, para quienes sólo merece el nombre de "conocimiento" el conocimiento científico, y que califican a cualquier otro pretendido conocimiento de "juego de pal</w:t>
      </w:r>
      <w:r w:rsidRPr="000558A7">
        <w:rPr>
          <w:rFonts w:ascii="Arial" w:hAnsi="Arial" w:cs="Arial"/>
          <w:color w:val="595959" w:themeColor="text1" w:themeTint="A6"/>
          <w:sz w:val="24"/>
          <w:szCs w:val="24"/>
          <w:lang w:val="es-ES"/>
        </w:rPr>
        <w:t xml:space="preserve">abras sin alcance cognoscitivo" (R. </w:t>
      </w:r>
      <w:proofErr w:type="spellStart"/>
      <w:r w:rsidRPr="000558A7">
        <w:rPr>
          <w:rFonts w:ascii="Arial" w:hAnsi="Arial" w:cs="Arial"/>
          <w:color w:val="595959" w:themeColor="text1" w:themeTint="A6"/>
          <w:sz w:val="24"/>
          <w:szCs w:val="24"/>
          <w:lang w:val="es-ES"/>
        </w:rPr>
        <w:t>Carnap</w:t>
      </w:r>
      <w:proofErr w:type="spellEnd"/>
      <w:r w:rsidRPr="000558A7">
        <w:rPr>
          <w:rFonts w:ascii="Arial" w:hAnsi="Arial" w:cs="Arial"/>
          <w:color w:val="595959" w:themeColor="text1" w:themeTint="A6"/>
          <w:sz w:val="24"/>
          <w:szCs w:val="24"/>
          <w:lang w:val="es-ES"/>
        </w:rPr>
        <w:t>).</w:t>
      </w:r>
    </w:p>
    <w:sectPr w:rsidR="000558A7" w:rsidRPr="000558A7" w:rsidSect="008C67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58A7"/>
    <w:rsid w:val="000558A7"/>
    <w:rsid w:val="007605ED"/>
    <w:rsid w:val="008C6763"/>
    <w:rsid w:val="00C61B18"/>
    <w:rsid w:val="00CC786E"/>
    <w:rsid w:val="00E656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6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cp:revision>
  <dcterms:created xsi:type="dcterms:W3CDTF">2011-10-08T04:42:00Z</dcterms:created>
  <dcterms:modified xsi:type="dcterms:W3CDTF">2011-10-08T04:59:00Z</dcterms:modified>
</cp:coreProperties>
</file>